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724AFF" w:rsidRPr="00724AFF">
        <w:t>R4-2114518</w:t>
      </w:r>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97567">
        <w:rPr>
          <w:rFonts w:ascii="Arial" w:hAnsi="Arial" w:cs="Arial"/>
          <w:sz w:val="22"/>
        </w:rPr>
        <w:t>Shaping filter characteristics</w:t>
      </w:r>
      <w:r w:rsidR="00B9629D" w:rsidRPr="00B9629D">
        <w:rPr>
          <w:rFonts w:ascii="Arial" w:hAnsi="Arial" w:cs="Arial"/>
          <w:sz w:val="22"/>
        </w:rPr>
        <w:t xml:space="preserve"> for Pi/2 BPSK</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24AFF" w:rsidRPr="00724AFF">
        <w:rPr>
          <w:rFonts w:ascii="Arial" w:hAnsi="Arial" w:cs="Arial"/>
          <w:sz w:val="22"/>
        </w:rPr>
        <w:t>10.6.4</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527593" w:rsidP="009A089A">
      <w:r>
        <w:t xml:space="preserve">Study of </w:t>
      </w:r>
      <w:r w:rsidR="00B50FA3">
        <w:t>o</w:t>
      </w:r>
      <w:r w:rsidR="00B50FA3" w:rsidRPr="00B50FA3">
        <w:t>ptimizations of pi2 BPSK uplink power</w:t>
      </w:r>
      <w:r w:rsidR="00B9629D">
        <w:t xml:space="preserve"> </w:t>
      </w:r>
      <w:r w:rsidR="00B50FA3">
        <w:t xml:space="preserve">was kicked off in last RAN4 meeting, and a WF recorded some issues to be further evaluated in </w:t>
      </w:r>
      <w:r w:rsidR="00B9629D">
        <w:t>[1]</w:t>
      </w:r>
      <w:r w:rsidR="00B50FA3">
        <w:t>. One of the issue is the shaping filter to be used in the following performance evaluation. The following are the recommended direction for filter characteristics:</w:t>
      </w:r>
    </w:p>
    <w:p w:rsidR="00063BB5" w:rsidRPr="00527593" w:rsidRDefault="00C41787" w:rsidP="00527593">
      <w:pPr>
        <w:numPr>
          <w:ilvl w:val="0"/>
          <w:numId w:val="44"/>
        </w:numPr>
        <w:rPr>
          <w:i/>
          <w:lang w:val="en-US"/>
        </w:rPr>
      </w:pPr>
      <w:r w:rsidRPr="00527593">
        <w:rPr>
          <w:i/>
          <w:lang w:val="en-US"/>
        </w:rPr>
        <w:t>Comments from 1</w:t>
      </w:r>
      <w:r w:rsidRPr="00527593">
        <w:rPr>
          <w:i/>
          <w:vertAlign w:val="superscript"/>
          <w:lang w:val="en-US"/>
        </w:rPr>
        <w:t>st</w:t>
      </w:r>
      <w:r w:rsidRPr="00527593">
        <w:rPr>
          <w:i/>
          <w:lang w:val="en-US"/>
        </w:rPr>
        <w:t xml:space="preserve"> round can be grouped into options as follows:</w:t>
      </w:r>
    </w:p>
    <w:p w:rsidR="00063BB5" w:rsidRPr="00527593" w:rsidRDefault="00C41787" w:rsidP="00527593">
      <w:pPr>
        <w:numPr>
          <w:ilvl w:val="1"/>
          <w:numId w:val="45"/>
        </w:numPr>
        <w:rPr>
          <w:i/>
          <w:lang w:val="en-US"/>
        </w:rPr>
      </w:pPr>
      <w:r w:rsidRPr="00527593">
        <w:rPr>
          <w:i/>
          <w:lang w:val="en-US"/>
        </w:rPr>
        <w:t>Companies that wanted to use 2 tap filter as per 38.101-1, section 6.4.2.4.1 (</w:t>
      </w:r>
      <w:r w:rsidRPr="00527593">
        <w:rPr>
          <w:i/>
        </w:rPr>
        <w:t>IITH, IITM, CEWIT, Reliance Jio, Tejas Networks)</w:t>
      </w:r>
    </w:p>
    <w:p w:rsidR="00063BB5" w:rsidRPr="00527593" w:rsidRDefault="00C41787" w:rsidP="00527593">
      <w:pPr>
        <w:numPr>
          <w:ilvl w:val="1"/>
          <w:numId w:val="45"/>
        </w:numPr>
        <w:rPr>
          <w:i/>
          <w:lang w:val="en-US"/>
        </w:rPr>
      </w:pPr>
      <w:r w:rsidRPr="00527593">
        <w:rPr>
          <w:i/>
        </w:rPr>
        <w:t xml:space="preserve">Companies that wanted to use 2 &amp; 3 tap filters </w:t>
      </w:r>
      <w:r w:rsidRPr="00527593">
        <w:rPr>
          <w:i/>
          <w:lang w:val="en-US"/>
        </w:rPr>
        <w:t>as per 38.101-1, section 6.4.2.4.1</w:t>
      </w:r>
      <w:r w:rsidRPr="00527593">
        <w:rPr>
          <w:i/>
        </w:rPr>
        <w:t xml:space="preserve"> (QCOM, Nokia)</w:t>
      </w:r>
    </w:p>
    <w:p w:rsidR="00063BB5" w:rsidRPr="00527593" w:rsidRDefault="00C41787" w:rsidP="00527593">
      <w:pPr>
        <w:numPr>
          <w:ilvl w:val="1"/>
          <w:numId w:val="45"/>
        </w:numPr>
        <w:rPr>
          <w:i/>
          <w:lang w:val="en-US"/>
        </w:rPr>
      </w:pPr>
      <w:r w:rsidRPr="00527593">
        <w:rPr>
          <w:i/>
        </w:rPr>
        <w:t>Companies that wanted to use general filters defined as per 38.101-1, section 6.4.2.4.1 (Huawei, Nokia)</w:t>
      </w:r>
    </w:p>
    <w:p w:rsidR="00063BB5" w:rsidRPr="00527593" w:rsidRDefault="00C41787" w:rsidP="00527593">
      <w:pPr>
        <w:numPr>
          <w:ilvl w:val="0"/>
          <w:numId w:val="44"/>
        </w:numPr>
        <w:rPr>
          <w:i/>
          <w:lang w:val="en-US"/>
        </w:rPr>
      </w:pPr>
      <w:r w:rsidRPr="00527593">
        <w:rPr>
          <w:i/>
        </w:rPr>
        <w:t>Recommended WF based on company inputs</w:t>
      </w:r>
    </w:p>
    <w:p w:rsidR="00063BB5" w:rsidRPr="00527593" w:rsidRDefault="00C41787" w:rsidP="00527593">
      <w:pPr>
        <w:numPr>
          <w:ilvl w:val="1"/>
          <w:numId w:val="45"/>
        </w:numPr>
        <w:rPr>
          <w:i/>
          <w:lang w:val="en-US"/>
        </w:rPr>
      </w:pPr>
      <w:r w:rsidRPr="00527593">
        <w:rPr>
          <w:i/>
          <w:lang w:val="en-US"/>
        </w:rPr>
        <w:t>Initial study to focus on filter configurations defined as per 38.101-1, section 6.4.2.4.1</w:t>
      </w:r>
    </w:p>
    <w:p w:rsidR="00063BB5" w:rsidRPr="00527593" w:rsidRDefault="00C41787" w:rsidP="00527593">
      <w:pPr>
        <w:numPr>
          <w:ilvl w:val="1"/>
          <w:numId w:val="45"/>
        </w:numPr>
        <w:rPr>
          <w:i/>
          <w:lang w:val="en-US"/>
        </w:rPr>
      </w:pPr>
      <w:r w:rsidRPr="00527593">
        <w:rPr>
          <w:i/>
          <w:lang w:val="en-US"/>
        </w:rPr>
        <w:t xml:space="preserve">Interested companies can do subsequent studies that focus on other filter configurations </w:t>
      </w:r>
    </w:p>
    <w:p w:rsidR="009A089A" w:rsidRDefault="00B9629D" w:rsidP="009A089A">
      <w:r>
        <w:rPr>
          <w:lang w:val="x-none"/>
        </w:rPr>
        <w:t xml:space="preserve">This contribution provides the </w:t>
      </w:r>
      <w:r w:rsidR="00B50FA3">
        <w:rPr>
          <w:lang w:val="x-none"/>
        </w:rPr>
        <w:t>some</w:t>
      </w:r>
      <w:r w:rsidR="006629EB">
        <w:rPr>
          <w:lang w:val="x-none"/>
        </w:rPr>
        <w:t xml:space="preserve"> further</w:t>
      </w:r>
      <w:r w:rsidR="00B50FA3">
        <w:rPr>
          <w:lang w:val="x-none"/>
        </w:rPr>
        <w:t xml:space="preserve"> analysis for the shaping filter characteristics</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99657F" w:rsidP="005369EE">
      <w:pPr>
        <w:rPr>
          <w:lang w:val="en-US" w:eastAsia="en-US"/>
        </w:rPr>
      </w:pPr>
      <w:r>
        <w:rPr>
          <w:lang w:val="en-US" w:eastAsia="en-US"/>
        </w:rPr>
        <w:t xml:space="preserve">It is known that application of shaping filter would worsen the EVM equalizer spectrum flatness, for both frequency domain and time domain there are restrictions in the specification for the filter implementation, i.e. </w:t>
      </w:r>
    </w:p>
    <w:p w:rsidR="0099657F" w:rsidRPr="0099657F" w:rsidRDefault="0099657F" w:rsidP="0099657F">
      <w:pPr>
        <w:pStyle w:val="TH"/>
        <w:rPr>
          <w:i/>
        </w:rPr>
      </w:pPr>
      <w:r w:rsidRPr="0099657F">
        <w:rPr>
          <w:i/>
        </w:rPr>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3"/>
        <w:gridCol w:w="1123"/>
        <w:gridCol w:w="2385"/>
      </w:tblGrid>
      <w:tr w:rsidR="0099657F" w:rsidRPr="0099657F" w:rsidTr="002E78E6">
        <w:trPr>
          <w:jc w:val="center"/>
        </w:trPr>
        <w:tc>
          <w:tcPr>
            <w:tcW w:w="5123" w:type="dxa"/>
          </w:tcPr>
          <w:p w:rsidR="0099657F" w:rsidRPr="0099657F" w:rsidRDefault="0099657F" w:rsidP="002E78E6">
            <w:pPr>
              <w:pStyle w:val="TAH"/>
              <w:rPr>
                <w:i/>
              </w:rPr>
            </w:pPr>
            <w:r w:rsidRPr="0099657F">
              <w:rPr>
                <w:i/>
              </w:rPr>
              <w:t>Frequency range</w:t>
            </w:r>
          </w:p>
        </w:tc>
        <w:tc>
          <w:tcPr>
            <w:tcW w:w="1123" w:type="dxa"/>
          </w:tcPr>
          <w:p w:rsidR="0099657F" w:rsidRPr="0099657F" w:rsidRDefault="0099657F" w:rsidP="002E78E6">
            <w:pPr>
              <w:pStyle w:val="TAH"/>
              <w:rPr>
                <w:i/>
              </w:rPr>
            </w:pPr>
            <w:r w:rsidRPr="0099657F">
              <w:rPr>
                <w:i/>
              </w:rPr>
              <w:t xml:space="preserve">Parameter </w:t>
            </w:r>
          </w:p>
        </w:tc>
        <w:tc>
          <w:tcPr>
            <w:tcW w:w="2385" w:type="dxa"/>
          </w:tcPr>
          <w:p w:rsidR="0099657F" w:rsidRPr="0099657F" w:rsidRDefault="0099657F" w:rsidP="002E78E6">
            <w:pPr>
              <w:pStyle w:val="TAH"/>
              <w:rPr>
                <w:i/>
              </w:rPr>
            </w:pPr>
            <w:r w:rsidRPr="0099657F">
              <w:rPr>
                <w:i/>
              </w:rPr>
              <w:t>Maximum ripple (dB)</w:t>
            </w:r>
          </w:p>
        </w:tc>
      </w:tr>
      <w:tr w:rsidR="0099657F" w:rsidRPr="0099657F" w:rsidTr="002E78E6">
        <w:trPr>
          <w:trHeight w:val="150"/>
          <w:jc w:val="center"/>
        </w:trPr>
        <w:tc>
          <w:tcPr>
            <w:tcW w:w="5123" w:type="dxa"/>
          </w:tcPr>
          <w:p w:rsidR="0099657F" w:rsidRPr="0099657F" w:rsidRDefault="0099657F" w:rsidP="002E78E6">
            <w:pPr>
              <w:pStyle w:val="TAC"/>
              <w:rPr>
                <w:i/>
              </w:rPr>
            </w:pPr>
            <w:r w:rsidRPr="0099657F">
              <w:rPr>
                <w:i/>
              </w:rPr>
              <w:t>|F</w:t>
            </w:r>
            <w:r w:rsidRPr="0099657F">
              <w:rPr>
                <w:i/>
                <w:vertAlign w:val="subscript"/>
              </w:rPr>
              <w:t>UL_Meas</w:t>
            </w:r>
            <w:r w:rsidRPr="0099657F">
              <w:rPr>
                <w:i/>
              </w:rPr>
              <w:t xml:space="preserve"> – F</w:t>
            </w:r>
            <w:r w:rsidRPr="0099657F">
              <w:rPr>
                <w:i/>
                <w:vertAlign w:val="subscript"/>
              </w:rPr>
              <w:t>center</w:t>
            </w:r>
            <w:r w:rsidRPr="0099657F">
              <w:rPr>
                <w:i/>
              </w:rPr>
              <w:t>| ≤ X MHz</w:t>
            </w:r>
          </w:p>
          <w:p w:rsidR="0099657F" w:rsidRPr="0099657F" w:rsidRDefault="0099657F" w:rsidP="002E78E6">
            <w:pPr>
              <w:pStyle w:val="TAC"/>
              <w:rPr>
                <w:i/>
              </w:rPr>
            </w:pPr>
            <w:r w:rsidRPr="0099657F">
              <w:rPr>
                <w:i/>
              </w:rPr>
              <w:t>(Range 1)</w:t>
            </w:r>
          </w:p>
        </w:tc>
        <w:tc>
          <w:tcPr>
            <w:tcW w:w="1123" w:type="dxa"/>
          </w:tcPr>
          <w:p w:rsidR="0099657F" w:rsidRPr="0099657F" w:rsidRDefault="0099657F" w:rsidP="002E78E6">
            <w:pPr>
              <w:pStyle w:val="TAC"/>
              <w:rPr>
                <w:i/>
              </w:rPr>
            </w:pPr>
            <w:r w:rsidRPr="0099657F">
              <w:rPr>
                <w:i/>
              </w:rPr>
              <w:t>X1</w:t>
            </w:r>
          </w:p>
        </w:tc>
        <w:tc>
          <w:tcPr>
            <w:tcW w:w="2385" w:type="dxa"/>
          </w:tcPr>
          <w:p w:rsidR="0099657F" w:rsidRPr="0099657F" w:rsidRDefault="0099657F" w:rsidP="002E78E6">
            <w:pPr>
              <w:pStyle w:val="TAC"/>
              <w:rPr>
                <w:i/>
              </w:rPr>
            </w:pPr>
            <w:r w:rsidRPr="0099657F">
              <w:rPr>
                <w:i/>
              </w:rPr>
              <w:t>6 (p-p)</w:t>
            </w:r>
          </w:p>
        </w:tc>
      </w:tr>
      <w:tr w:rsidR="0099657F" w:rsidRPr="0099657F" w:rsidTr="002E78E6">
        <w:trPr>
          <w:trHeight w:val="150"/>
          <w:jc w:val="center"/>
        </w:trPr>
        <w:tc>
          <w:tcPr>
            <w:tcW w:w="5123" w:type="dxa"/>
          </w:tcPr>
          <w:p w:rsidR="0099657F" w:rsidRPr="0099657F" w:rsidRDefault="0099657F" w:rsidP="002E78E6">
            <w:pPr>
              <w:pStyle w:val="TAC"/>
              <w:rPr>
                <w:i/>
              </w:rPr>
            </w:pPr>
            <w:r w:rsidRPr="0099657F">
              <w:rPr>
                <w:i/>
              </w:rPr>
              <w:t>|F</w:t>
            </w:r>
            <w:r w:rsidRPr="0099657F">
              <w:rPr>
                <w:i/>
                <w:vertAlign w:val="subscript"/>
              </w:rPr>
              <w:t>UL_Meas</w:t>
            </w:r>
            <w:r w:rsidRPr="0099657F">
              <w:rPr>
                <w:i/>
              </w:rPr>
              <w:t xml:space="preserve"> – F</w:t>
            </w:r>
            <w:r w:rsidRPr="0099657F">
              <w:rPr>
                <w:i/>
                <w:vertAlign w:val="subscript"/>
              </w:rPr>
              <w:t>center</w:t>
            </w:r>
            <w:r w:rsidRPr="0099657F">
              <w:rPr>
                <w:i/>
              </w:rPr>
              <w:t>| &gt; X MHz</w:t>
            </w:r>
          </w:p>
          <w:p w:rsidR="0099657F" w:rsidRPr="0099657F" w:rsidRDefault="0099657F" w:rsidP="002E78E6">
            <w:pPr>
              <w:pStyle w:val="TAC"/>
              <w:rPr>
                <w:i/>
              </w:rPr>
            </w:pPr>
            <w:r w:rsidRPr="0099657F">
              <w:rPr>
                <w:i/>
              </w:rPr>
              <w:t>(Range 2)</w:t>
            </w:r>
          </w:p>
        </w:tc>
        <w:tc>
          <w:tcPr>
            <w:tcW w:w="1123" w:type="dxa"/>
          </w:tcPr>
          <w:p w:rsidR="0099657F" w:rsidRPr="0099657F" w:rsidRDefault="0099657F" w:rsidP="002E78E6">
            <w:pPr>
              <w:pStyle w:val="TAC"/>
              <w:rPr>
                <w:i/>
              </w:rPr>
            </w:pPr>
            <w:r w:rsidRPr="0099657F">
              <w:rPr>
                <w:i/>
              </w:rPr>
              <w:t>X2</w:t>
            </w:r>
          </w:p>
        </w:tc>
        <w:tc>
          <w:tcPr>
            <w:tcW w:w="2385" w:type="dxa"/>
          </w:tcPr>
          <w:p w:rsidR="0099657F" w:rsidRPr="0099657F" w:rsidRDefault="0099657F" w:rsidP="002E78E6">
            <w:pPr>
              <w:pStyle w:val="TAC"/>
              <w:rPr>
                <w:i/>
              </w:rPr>
            </w:pPr>
            <w:r w:rsidRPr="0099657F">
              <w:rPr>
                <w:i/>
              </w:rPr>
              <w:t>14 (p-p)</w:t>
            </w:r>
          </w:p>
        </w:tc>
      </w:tr>
      <w:tr w:rsidR="0099657F" w:rsidRPr="0099657F" w:rsidTr="002E78E6">
        <w:trPr>
          <w:trHeight w:val="150"/>
          <w:jc w:val="center"/>
        </w:trPr>
        <w:tc>
          <w:tcPr>
            <w:tcW w:w="8631" w:type="dxa"/>
            <w:gridSpan w:val="3"/>
          </w:tcPr>
          <w:p w:rsidR="0099657F" w:rsidRPr="0099657F" w:rsidRDefault="0099657F" w:rsidP="002E78E6">
            <w:pPr>
              <w:pStyle w:val="TAN"/>
              <w:rPr>
                <w:i/>
              </w:rPr>
            </w:pPr>
            <w:r w:rsidRPr="0099657F">
              <w:rPr>
                <w:i/>
              </w:rPr>
              <w:t>NOTE 1:</w:t>
            </w:r>
            <w:r w:rsidRPr="0099657F">
              <w:rPr>
                <w:i/>
              </w:rPr>
              <w:tab/>
              <w:t>F</w:t>
            </w:r>
            <w:r w:rsidRPr="0099657F">
              <w:rPr>
                <w:i/>
                <w:vertAlign w:val="subscript"/>
              </w:rPr>
              <w:t>UL_Meas</w:t>
            </w:r>
            <w:r w:rsidRPr="0099657F">
              <w:rPr>
                <w:i/>
              </w:rPr>
              <w:t xml:space="preserve"> refers to the sub-carrier frequency for which the equalizer coefficient is evaluated</w:t>
            </w:r>
          </w:p>
          <w:p w:rsidR="0099657F" w:rsidRPr="0099657F" w:rsidRDefault="0099657F" w:rsidP="002E78E6">
            <w:pPr>
              <w:pStyle w:val="TAN"/>
              <w:rPr>
                <w:i/>
              </w:rPr>
            </w:pPr>
            <w:r w:rsidRPr="0099657F">
              <w:rPr>
                <w:i/>
              </w:rPr>
              <w:t>NOTE 2:</w:t>
            </w:r>
            <w:r w:rsidRPr="0099657F">
              <w:rPr>
                <w:i/>
              </w:rPr>
              <w:tab/>
              <w:t>F</w:t>
            </w:r>
            <w:r w:rsidRPr="0099657F">
              <w:rPr>
                <w:i/>
                <w:vertAlign w:val="subscript"/>
              </w:rPr>
              <w:t>center</w:t>
            </w:r>
            <w:r w:rsidRPr="0099657F">
              <w:rPr>
                <w:i/>
              </w:rPr>
              <w:t xml:space="preserve"> refers to the center frequency of an allocated block of PRBs</w:t>
            </w:r>
          </w:p>
          <w:p w:rsidR="0099657F" w:rsidRPr="0099657F" w:rsidRDefault="0099657F" w:rsidP="002E78E6">
            <w:pPr>
              <w:pStyle w:val="TAN"/>
              <w:rPr>
                <w:i/>
              </w:rPr>
            </w:pPr>
            <w:r w:rsidRPr="0099657F">
              <w:rPr>
                <w:i/>
              </w:rPr>
              <w:t>NOTE 3:</w:t>
            </w:r>
            <w:r w:rsidRPr="0099657F">
              <w:rPr>
                <w:i/>
              </w:rPr>
              <w:tab/>
              <w:t>X, in MHz, is equal to 25% of the bandwidth of the PRB allocation</w:t>
            </w:r>
          </w:p>
          <w:p w:rsidR="0099657F" w:rsidRPr="0099657F" w:rsidRDefault="0099657F" w:rsidP="002E78E6">
            <w:pPr>
              <w:pStyle w:val="TAN"/>
              <w:rPr>
                <w:i/>
              </w:rPr>
            </w:pPr>
            <w:r w:rsidRPr="0099657F">
              <w:rPr>
                <w:i/>
              </w:rPr>
              <w:t>NOTE 4:</w:t>
            </w:r>
            <w:r w:rsidRPr="0099657F">
              <w:rPr>
                <w:i/>
              </w:rPr>
              <w:tab/>
              <w:t>See Figure 6.4.2.4.1-1 for description of X1, X2</w:t>
            </w:r>
          </w:p>
        </w:tc>
      </w:tr>
    </w:tbl>
    <w:p w:rsidR="0099657F" w:rsidRPr="0099657F" w:rsidRDefault="0099657F" w:rsidP="0099657F">
      <w:pPr>
        <w:rPr>
          <w:i/>
          <w:lang w:eastAsia="en-US"/>
        </w:rPr>
      </w:pPr>
    </w:p>
    <w:p w:rsidR="0099657F" w:rsidRPr="0099657F" w:rsidRDefault="0099657F" w:rsidP="0099657F">
      <w:pPr>
        <w:rPr>
          <w:i/>
        </w:rPr>
      </w:pPr>
      <w:r w:rsidRPr="0099657F">
        <w:rPr>
          <w:i/>
        </w:rPr>
        <w:t>For Pi/2 BPSK modulation the UE shall be allowed to employ spectral shaping and the shaping filter shall be restricted so that the impulse response of the shaping filter itself shall meet</w:t>
      </w:r>
    </w:p>
    <w:p w:rsidR="0099657F" w:rsidRPr="0099657F" w:rsidRDefault="0099657F" w:rsidP="0099657F">
      <w:pPr>
        <w:pStyle w:val="EQ"/>
        <w:rPr>
          <w:rFonts w:ascii="Cambria Math" w:eastAsia="Malgun Gothic" w:hAnsi="Cambria Math" w:cs="Cambria Math" w:hint="eastAsia"/>
          <w:i/>
        </w:rPr>
      </w:pPr>
      <w:r w:rsidRPr="0099657F">
        <w:rPr>
          <w:rFonts w:eastAsia="Malgun Gothic"/>
          <w:i/>
        </w:rPr>
        <w:tab/>
        <w:t>│ã</w:t>
      </w:r>
      <w:r w:rsidRPr="0099657F">
        <w:rPr>
          <w:rFonts w:eastAsia="Malgun Gothic"/>
          <w:i/>
          <w:vertAlign w:val="subscript"/>
        </w:rPr>
        <w:t>t</w:t>
      </w:r>
      <w:r w:rsidRPr="0099657F">
        <w:rPr>
          <w:rFonts w:eastAsia="Malgun Gothic"/>
          <w:i/>
        </w:rPr>
        <w:t>(t,0)│ ≥ │ã</w:t>
      </w:r>
      <w:r w:rsidRPr="0099657F">
        <w:rPr>
          <w:rFonts w:eastAsia="Malgun Gothic"/>
          <w:i/>
          <w:vertAlign w:val="subscript"/>
        </w:rPr>
        <w:t>t</w:t>
      </w:r>
      <w:r w:rsidRPr="0099657F">
        <w:rPr>
          <w:rFonts w:eastAsia="Malgun Gothic"/>
          <w:i/>
        </w:rPr>
        <w:t xml:space="preserve">(t, τ)│    </w:t>
      </w:r>
      <w:r w:rsidRPr="0099657F">
        <w:rPr>
          <w:rFonts w:ascii="Cambria Math" w:eastAsia="Malgun Gothic" w:hAnsi="Cambria Math" w:cs="Cambria Math"/>
          <w:i/>
        </w:rPr>
        <w:t>∀</w:t>
      </w:r>
      <w:r w:rsidRPr="0099657F">
        <w:rPr>
          <w:rFonts w:eastAsia="Malgun Gothic"/>
          <w:i/>
        </w:rPr>
        <w:t xml:space="preserve">τ ≠ </w:t>
      </w:r>
      <w:r w:rsidRPr="0099657F">
        <w:rPr>
          <w:rFonts w:ascii="Cambria Math" w:eastAsia="Malgun Gothic" w:hAnsi="Cambria Math" w:cs="Cambria Math"/>
          <w:i/>
        </w:rPr>
        <w:t>0</w:t>
      </w:r>
    </w:p>
    <w:p w:rsidR="0099657F" w:rsidRPr="0099657F" w:rsidRDefault="0099657F" w:rsidP="0099657F">
      <w:pPr>
        <w:pStyle w:val="EQ"/>
        <w:rPr>
          <w:rFonts w:eastAsia="Malgun Gothic"/>
          <w:i/>
        </w:rPr>
      </w:pPr>
      <w:r w:rsidRPr="0099657F">
        <w:rPr>
          <w:rFonts w:eastAsia="Malgun Gothic"/>
          <w:i/>
        </w:rPr>
        <w:tab/>
        <w:t>20log</w:t>
      </w:r>
      <w:r w:rsidRPr="0099657F">
        <w:rPr>
          <w:rFonts w:eastAsia="Malgun Gothic"/>
          <w:i/>
          <w:vertAlign w:val="subscript"/>
        </w:rPr>
        <w:t>10</w:t>
      </w:r>
      <w:r w:rsidRPr="0099657F">
        <w:rPr>
          <w:rFonts w:eastAsia="Malgun Gothic"/>
          <w:i/>
        </w:rPr>
        <w:t>│ã</w:t>
      </w:r>
      <w:r w:rsidRPr="0099657F">
        <w:rPr>
          <w:rFonts w:eastAsia="Malgun Gothic"/>
          <w:i/>
          <w:vertAlign w:val="subscript"/>
        </w:rPr>
        <w:t>t</w:t>
      </w:r>
      <w:r w:rsidRPr="0099657F">
        <w:rPr>
          <w:rFonts w:eastAsia="Malgun Gothic"/>
          <w:i/>
        </w:rPr>
        <w:t>(t,τ)│&lt; -15 dB    1&lt; τ &lt; M - 1,</w:t>
      </w:r>
    </w:p>
    <w:p w:rsidR="0099657F" w:rsidRPr="0099657F" w:rsidRDefault="0099657F" w:rsidP="0099657F">
      <w:pPr>
        <w:rPr>
          <w:rFonts w:eastAsia="Malgun Gothic"/>
          <w:i/>
        </w:rPr>
      </w:pPr>
      <w:r w:rsidRPr="0099657F">
        <w:rPr>
          <w:rFonts w:eastAsia="Malgun Gothic"/>
          <w:i/>
        </w:rPr>
        <w:lastRenderedPageBreak/>
        <w:t>where│ã</w:t>
      </w:r>
      <w:r w:rsidRPr="0099657F">
        <w:rPr>
          <w:rFonts w:eastAsia="Malgun Gothic"/>
          <w:i/>
          <w:vertAlign w:val="subscript"/>
        </w:rPr>
        <w:t>t</w:t>
      </w:r>
      <w:r w:rsidRPr="0099657F">
        <w:rPr>
          <w:rFonts w:eastAsia="Malgun Gothic"/>
          <w:i/>
        </w:rPr>
        <w:t>(</w:t>
      </w:r>
      <w:r w:rsidRPr="0099657F">
        <w:rPr>
          <w:rFonts w:eastAsia="Malgun Gothic"/>
          <w:i/>
          <w:noProof/>
        </w:rPr>
        <w:t>t, τ</w:t>
      </w:r>
      <w:r w:rsidRPr="0099657F">
        <w:rPr>
          <w:rFonts w:eastAsia="Malgun Gothic"/>
          <w:i/>
        </w:rPr>
        <w:t>)│=IDFT{│ã</w:t>
      </w:r>
      <w:r w:rsidRPr="0099657F">
        <w:rPr>
          <w:rFonts w:eastAsia="Malgun Gothic"/>
          <w:i/>
          <w:vertAlign w:val="subscript"/>
        </w:rPr>
        <w:t>t</w:t>
      </w:r>
      <w:r w:rsidRPr="0099657F">
        <w:rPr>
          <w:rFonts w:eastAsia="Malgun Gothic"/>
          <w:i/>
        </w:rPr>
        <w:t>(t,f)│e</w:t>
      </w:r>
      <w:r w:rsidRPr="0099657F">
        <w:rPr>
          <w:rFonts w:eastAsia="Malgun Gothic"/>
          <w:i/>
          <w:vertAlign w:val="superscript"/>
        </w:rPr>
        <w:t>jφ (t,f)</w:t>
      </w:r>
      <w:r w:rsidRPr="0099657F">
        <w:rPr>
          <w:rFonts w:eastAsia="Malgun Gothic"/>
          <w:i/>
        </w:rPr>
        <w:t>},   f  is the frequency of the M allocated subcarriers , ã(t,f) and φ(t,f) are the amplitude and phase response.</w:t>
      </w:r>
    </w:p>
    <w:p w:rsidR="0099657F" w:rsidRPr="0099657F" w:rsidRDefault="0099657F" w:rsidP="0099657F">
      <w:pPr>
        <w:rPr>
          <w:i/>
        </w:rPr>
      </w:pPr>
      <w:r w:rsidRPr="0099657F">
        <w:rPr>
          <w:rFonts w:eastAsia="Malgun Gothic"/>
          <w:i/>
        </w:rPr>
        <w:t xml:space="preserve">0 dB reference is defined as </w:t>
      </w:r>
      <w:r w:rsidRPr="0099657F">
        <w:rPr>
          <w:rFonts w:eastAsia="Malgun Gothic"/>
          <w:i/>
          <w:noProof/>
        </w:rPr>
        <w:t>20log</w:t>
      </w:r>
      <w:r w:rsidRPr="0099657F">
        <w:rPr>
          <w:rFonts w:eastAsia="Malgun Gothic"/>
          <w:i/>
          <w:noProof/>
          <w:vertAlign w:val="subscript"/>
        </w:rPr>
        <w:t>10</w:t>
      </w:r>
      <w:r w:rsidRPr="0099657F">
        <w:rPr>
          <w:rFonts w:eastAsia="Malgun Gothic"/>
          <w:i/>
          <w:noProof/>
        </w:rPr>
        <w:t>│ã</w:t>
      </w:r>
      <w:r w:rsidRPr="0099657F">
        <w:rPr>
          <w:rFonts w:eastAsia="Malgun Gothic"/>
          <w:i/>
          <w:noProof/>
          <w:vertAlign w:val="subscript"/>
        </w:rPr>
        <w:t>t</w:t>
      </w:r>
      <w:r w:rsidRPr="0099657F">
        <w:rPr>
          <w:rFonts w:eastAsia="Malgun Gothic"/>
          <w:i/>
          <w:noProof/>
        </w:rPr>
        <w:t>(t,0)│.</w:t>
      </w:r>
    </w:p>
    <w:p w:rsidR="005369EE" w:rsidRDefault="000A6F04" w:rsidP="005369EE">
      <w:pPr>
        <w:rPr>
          <w:lang w:val="en-US" w:eastAsia="en-US"/>
        </w:rPr>
      </w:pPr>
      <w:r>
        <w:rPr>
          <w:lang w:val="en-US" w:eastAsia="en-US"/>
        </w:rPr>
        <w:t xml:space="preserve">The principle in Rel-15 is that no matter what kind of shaping filter implementation (frequency domain or time domain), as long as the characteristics comply with the specified requirements, the filter type can be adopted to help reduce the PAPR of the waveform. In other words, the selected shaping filter is up to UE implementation. </w:t>
      </w:r>
    </w:p>
    <w:p w:rsidR="0064049D" w:rsidRDefault="0064049D" w:rsidP="0064049D">
      <w:pPr>
        <w:rPr>
          <w:bCs/>
        </w:rPr>
      </w:pPr>
      <w:r>
        <w:t>Figure 1 illustrat</w:t>
      </w:r>
      <w:r>
        <w:rPr>
          <w:rFonts w:hint="eastAsia"/>
        </w:rPr>
        <w:t>es</w:t>
      </w:r>
      <w:r>
        <w:t xml:space="preserve"> the evaluated FDSS filter in term</w:t>
      </w:r>
      <w:r>
        <w:rPr>
          <w:rFonts w:hint="eastAsia"/>
        </w:rPr>
        <w:t xml:space="preserve"> </w:t>
      </w:r>
      <w:r>
        <w:t>of the</w:t>
      </w:r>
      <w:r>
        <w:rPr>
          <w:rFonts w:hint="eastAsia"/>
        </w:rPr>
        <w:t xml:space="preserve"> </w:t>
      </w:r>
      <w:r>
        <w:t>spectrum shape for the example of allocation of 20 PRBs.</w:t>
      </w:r>
      <w:r>
        <w:rPr>
          <w:rFonts w:hint="eastAsia"/>
        </w:rPr>
        <w:t xml:space="preserve"> </w:t>
      </w:r>
    </w:p>
    <w:p w:rsidR="0064049D" w:rsidRDefault="0064049D" w:rsidP="0064049D">
      <w:pPr>
        <w:spacing w:afterLines="50" w:after="120"/>
        <w:jc w:val="center"/>
        <w:rPr>
          <w:bCs/>
        </w:rPr>
      </w:pPr>
      <w:r w:rsidRPr="007312CD">
        <w:rPr>
          <w:rFonts w:hint="eastAsia"/>
          <w:bCs/>
          <w:noProof/>
          <w:lang w:val="en-US"/>
        </w:rPr>
        <w:drawing>
          <wp:inline distT="0" distB="0" distL="0" distR="0">
            <wp:extent cx="3194050" cy="23939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4050" cy="2393950"/>
                    </a:xfrm>
                    <a:prstGeom prst="rect">
                      <a:avLst/>
                    </a:prstGeom>
                    <a:noFill/>
                    <a:ln>
                      <a:noFill/>
                    </a:ln>
                  </pic:spPr>
                </pic:pic>
              </a:graphicData>
            </a:graphic>
          </wp:inline>
        </w:drawing>
      </w:r>
    </w:p>
    <w:p w:rsidR="0064049D" w:rsidRPr="0064049D" w:rsidRDefault="0064049D" w:rsidP="0064049D">
      <w:pPr>
        <w:spacing w:afterLines="50" w:after="120"/>
        <w:jc w:val="center"/>
        <w:rPr>
          <w:rFonts w:ascii="Arial" w:hAnsi="Arial" w:cs="Arial"/>
          <w:b/>
          <w:bCs/>
        </w:rPr>
      </w:pPr>
      <w:r w:rsidRPr="0064049D">
        <w:rPr>
          <w:rFonts w:ascii="Arial" w:hAnsi="Arial" w:cs="Arial" w:hint="eastAsia"/>
          <w:b/>
          <w:bCs/>
        </w:rPr>
        <w:t>Figure 1</w:t>
      </w:r>
      <w:r w:rsidRPr="0064049D">
        <w:rPr>
          <w:rFonts w:ascii="Arial" w:hAnsi="Arial" w:cs="Arial"/>
          <w:b/>
          <w:bCs/>
        </w:rPr>
        <w:t>:</w:t>
      </w:r>
      <w:r w:rsidRPr="0064049D">
        <w:rPr>
          <w:rFonts w:ascii="Arial" w:hAnsi="Arial" w:cs="Arial" w:hint="eastAsia"/>
          <w:b/>
          <w:bCs/>
        </w:rPr>
        <w:t xml:space="preserve"> Spectrum shape of the FDSS filters </w:t>
      </w:r>
    </w:p>
    <w:p w:rsidR="000A6F04" w:rsidRDefault="000A6F04" w:rsidP="005369EE">
      <w:pPr>
        <w:rPr>
          <w:lang w:val="en-US" w:eastAsia="en-US"/>
        </w:rPr>
      </w:pPr>
      <w:r>
        <w:rPr>
          <w:lang w:val="en-US" w:eastAsia="en-US"/>
        </w:rPr>
        <w:t>To further elaborate our consideration and understanding of shaping filter, the comparison of different implement</w:t>
      </w:r>
      <w:r w:rsidR="0064049D">
        <w:rPr>
          <w:lang w:val="en-US" w:eastAsia="en-US"/>
        </w:rPr>
        <w:t>ation is provided in figures</w:t>
      </w:r>
      <w:r>
        <w:rPr>
          <w:lang w:val="en-US" w:eastAsia="en-US"/>
        </w:rPr>
        <w:t xml:space="preserve"> below.</w:t>
      </w:r>
    </w:p>
    <w:p w:rsidR="000A6F04" w:rsidRDefault="009B3128" w:rsidP="009B3128">
      <w:pPr>
        <w:jc w:val="center"/>
        <w:rPr>
          <w:rFonts w:ascii="Arial" w:hAnsi="Arial" w:cs="Arial"/>
          <w:lang w:val="en-US" w:eastAsia="en-US"/>
        </w:rPr>
      </w:pPr>
      <w:r>
        <w:rPr>
          <w:noProof/>
          <w:lang w:val="en-US"/>
        </w:rPr>
        <w:drawing>
          <wp:inline distT="0" distB="0" distL="0" distR="0" wp14:anchorId="2B1BAD00" wp14:editId="5FC89564">
            <wp:extent cx="2699268" cy="2328792"/>
            <wp:effectExtent l="0" t="0" r="635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9575" cy="2372194"/>
                    </a:xfrm>
                    <a:prstGeom prst="rect">
                      <a:avLst/>
                    </a:prstGeom>
                  </pic:spPr>
                </pic:pic>
              </a:graphicData>
            </a:graphic>
          </wp:inline>
        </w:drawing>
      </w:r>
      <w:r>
        <w:rPr>
          <w:noProof/>
          <w:lang w:val="en-US"/>
        </w:rPr>
        <w:drawing>
          <wp:inline distT="0" distB="0" distL="0" distR="0" wp14:anchorId="6DA4B3F7" wp14:editId="6298F248">
            <wp:extent cx="2669197" cy="23645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11230" cy="2401786"/>
                    </a:xfrm>
                    <a:prstGeom prst="rect">
                      <a:avLst/>
                    </a:prstGeom>
                  </pic:spPr>
                </pic:pic>
              </a:graphicData>
            </a:graphic>
          </wp:inline>
        </w:drawing>
      </w:r>
    </w:p>
    <w:p w:rsidR="0064049D" w:rsidRPr="00BA6963" w:rsidRDefault="0064049D" w:rsidP="009B3128">
      <w:pPr>
        <w:jc w:val="center"/>
        <w:rPr>
          <w:rFonts w:ascii="Arial" w:hAnsi="Arial" w:cs="Arial"/>
          <w:lang w:val="en-US" w:eastAsia="en-US"/>
        </w:rPr>
      </w:pPr>
    </w:p>
    <w:p w:rsidR="00BA6963" w:rsidRDefault="00BA6963" w:rsidP="00BA6963">
      <w:pPr>
        <w:spacing w:afterLines="50" w:after="120"/>
        <w:jc w:val="center"/>
        <w:rPr>
          <w:rFonts w:ascii="Arial" w:hAnsi="Arial" w:cs="Arial"/>
          <w:b/>
          <w:bCs/>
        </w:rPr>
      </w:pPr>
      <w:r w:rsidRPr="00BA6963">
        <w:rPr>
          <w:rFonts w:ascii="Arial" w:hAnsi="Arial" w:cs="Arial"/>
          <w:b/>
          <w:bCs/>
        </w:rPr>
        <w:t xml:space="preserve">Figure </w:t>
      </w:r>
      <w:r w:rsidR="0064049D">
        <w:rPr>
          <w:rFonts w:ascii="Arial" w:hAnsi="Arial" w:cs="Arial"/>
          <w:b/>
          <w:bCs/>
        </w:rPr>
        <w:t>2</w:t>
      </w:r>
      <w:r w:rsidRPr="00BA6963">
        <w:rPr>
          <w:rFonts w:ascii="Arial" w:hAnsi="Arial" w:cs="Arial"/>
          <w:b/>
          <w:bCs/>
        </w:rPr>
        <w:t xml:space="preserve">: PAPR of different </w:t>
      </w:r>
      <w:r>
        <w:rPr>
          <w:rFonts w:ascii="Arial" w:hAnsi="Arial" w:cs="Arial"/>
          <w:b/>
          <w:bCs/>
        </w:rPr>
        <w:t>shaping filters</w:t>
      </w:r>
      <w:r w:rsidR="009B3128">
        <w:rPr>
          <w:rFonts w:ascii="Arial" w:hAnsi="Arial" w:cs="Arial"/>
          <w:b/>
          <w:bCs/>
        </w:rPr>
        <w:t xml:space="preserve"> (</w:t>
      </w:r>
      <w:r w:rsidR="002B71EF">
        <w:rPr>
          <w:rFonts w:ascii="Arial" w:hAnsi="Arial" w:cs="Arial"/>
          <w:b/>
          <w:bCs/>
        </w:rPr>
        <w:t xml:space="preserve">CBW </w:t>
      </w:r>
      <w:r w:rsidR="009B3128">
        <w:rPr>
          <w:rFonts w:ascii="Arial" w:hAnsi="Arial" w:cs="Arial"/>
          <w:b/>
          <w:bCs/>
        </w:rPr>
        <w:t>100MHz</w:t>
      </w:r>
      <w:r w:rsidR="0064049D">
        <w:rPr>
          <w:rFonts w:ascii="Arial" w:hAnsi="Arial" w:cs="Arial"/>
          <w:b/>
          <w:bCs/>
        </w:rPr>
        <w:t>, 64RB</w:t>
      </w:r>
      <w:r w:rsidR="009B3128">
        <w:rPr>
          <w:rFonts w:ascii="Arial" w:hAnsi="Arial" w:cs="Arial"/>
          <w:b/>
          <w:bCs/>
        </w:rPr>
        <w:t>)</w:t>
      </w:r>
    </w:p>
    <w:p w:rsidR="0064049D" w:rsidRPr="00BA6963" w:rsidRDefault="0064049D" w:rsidP="0064049D">
      <w:pPr>
        <w:jc w:val="center"/>
        <w:rPr>
          <w:rFonts w:ascii="Arial" w:hAnsi="Arial" w:cs="Arial"/>
          <w:lang w:val="en-US" w:eastAsia="en-US"/>
        </w:rPr>
      </w:pPr>
      <w:r>
        <w:rPr>
          <w:noProof/>
          <w:lang w:val="en-US"/>
        </w:rPr>
        <w:lastRenderedPageBreak/>
        <w:drawing>
          <wp:inline distT="0" distB="0" distL="0" distR="0" wp14:anchorId="06C6D98F" wp14:editId="1594F84D">
            <wp:extent cx="2628274" cy="2301401"/>
            <wp:effectExtent l="0" t="0" r="635" b="3810"/>
            <wp:docPr id="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57785" cy="2327242"/>
                    </a:xfrm>
                    <a:prstGeom prst="rect">
                      <a:avLst/>
                    </a:prstGeom>
                  </pic:spPr>
                </pic:pic>
              </a:graphicData>
            </a:graphic>
          </wp:inline>
        </w:drawing>
      </w:r>
      <w:r>
        <w:rPr>
          <w:noProof/>
          <w:lang w:val="en-US"/>
        </w:rPr>
        <w:drawing>
          <wp:inline distT="0" distB="0" distL="0" distR="0" wp14:anchorId="0F06620A" wp14:editId="02EBD8BA">
            <wp:extent cx="2594737" cy="2348571"/>
            <wp:effectExtent l="0" t="0" r="0" b="0"/>
            <wp:docPr id="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17845" cy="2369487"/>
                    </a:xfrm>
                    <a:prstGeom prst="rect">
                      <a:avLst/>
                    </a:prstGeom>
                  </pic:spPr>
                </pic:pic>
              </a:graphicData>
            </a:graphic>
          </wp:inline>
        </w:drawing>
      </w:r>
    </w:p>
    <w:p w:rsidR="0064049D" w:rsidRPr="00BA6963" w:rsidRDefault="0064049D" w:rsidP="0064049D">
      <w:pPr>
        <w:spacing w:afterLines="50" w:after="120"/>
        <w:jc w:val="center"/>
        <w:rPr>
          <w:rFonts w:ascii="Arial" w:hAnsi="Arial" w:cs="Arial"/>
          <w:b/>
          <w:bCs/>
          <w:color w:val="FF0000"/>
        </w:rPr>
      </w:pPr>
      <w:r w:rsidRPr="00BA6963">
        <w:rPr>
          <w:rFonts w:ascii="Arial" w:hAnsi="Arial" w:cs="Arial"/>
          <w:b/>
          <w:bCs/>
        </w:rPr>
        <w:t xml:space="preserve">Figure </w:t>
      </w:r>
      <w:r>
        <w:rPr>
          <w:rFonts w:ascii="Arial" w:hAnsi="Arial" w:cs="Arial"/>
          <w:b/>
          <w:bCs/>
        </w:rPr>
        <w:t>3</w:t>
      </w:r>
      <w:r w:rsidRPr="00BA6963">
        <w:rPr>
          <w:rFonts w:ascii="Arial" w:hAnsi="Arial" w:cs="Arial"/>
          <w:b/>
          <w:bCs/>
        </w:rPr>
        <w:t xml:space="preserve">: PAPR of different </w:t>
      </w:r>
      <w:r>
        <w:rPr>
          <w:rFonts w:ascii="Arial" w:hAnsi="Arial" w:cs="Arial"/>
          <w:b/>
          <w:bCs/>
        </w:rPr>
        <w:t>shaping filters (CBW 10MHz, 8RB)</w:t>
      </w:r>
    </w:p>
    <w:p w:rsidR="005369EE" w:rsidRDefault="005369EE" w:rsidP="005369EE">
      <w:pPr>
        <w:rPr>
          <w:b/>
          <w:i/>
          <w:lang w:val="en-US" w:eastAsia="en-US"/>
        </w:rPr>
      </w:pPr>
      <w:r>
        <w:rPr>
          <w:b/>
          <w:i/>
          <w:lang w:val="en-US" w:eastAsia="en-US"/>
        </w:rPr>
        <w:t xml:space="preserve">Observation 1: </w:t>
      </w:r>
      <w:r w:rsidR="000A6F04">
        <w:rPr>
          <w:b/>
          <w:i/>
          <w:lang w:val="en-US" w:eastAsia="en-US"/>
        </w:rPr>
        <w:t xml:space="preserve">Different </w:t>
      </w:r>
      <w:r w:rsidR="000A6F04" w:rsidRPr="000A6F04">
        <w:rPr>
          <w:b/>
          <w:i/>
          <w:lang w:val="en-US" w:eastAsia="en-US"/>
        </w:rPr>
        <w:t xml:space="preserve">FDSS schemes can improve PAPR performance </w:t>
      </w:r>
      <w:r w:rsidR="000A6F04">
        <w:rPr>
          <w:b/>
          <w:i/>
          <w:lang w:val="en-US" w:eastAsia="en-US"/>
        </w:rPr>
        <w:t xml:space="preserve">for Pi/2 </w:t>
      </w:r>
      <w:r w:rsidR="000A6F04" w:rsidRPr="000A6F04">
        <w:rPr>
          <w:b/>
          <w:i/>
          <w:lang w:val="en-US" w:eastAsia="en-US"/>
        </w:rPr>
        <w:t>BPSK</w:t>
      </w:r>
    </w:p>
    <w:p w:rsidR="000A6F04" w:rsidRDefault="000A6F04" w:rsidP="005369EE">
      <w:pPr>
        <w:rPr>
          <w:b/>
          <w:i/>
          <w:lang w:val="en-US" w:eastAsia="en-US"/>
        </w:rPr>
      </w:pPr>
      <w:r>
        <w:rPr>
          <w:b/>
          <w:i/>
          <w:lang w:val="en-US" w:eastAsia="en-US"/>
        </w:rPr>
        <w:t xml:space="preserve">Observation 2: </w:t>
      </w:r>
      <w:r w:rsidR="00D43567">
        <w:rPr>
          <w:b/>
          <w:i/>
          <w:lang w:val="en-US" w:eastAsia="en-US"/>
        </w:rPr>
        <w:t>There are no big difference for the PAPR improvement with different shaping filter implementations</w:t>
      </w:r>
    </w:p>
    <w:p w:rsidR="00167F84" w:rsidRDefault="00167F84" w:rsidP="005369EE">
      <w:pPr>
        <w:rPr>
          <w:b/>
          <w:i/>
          <w:lang w:val="en-US" w:eastAsia="en-US"/>
        </w:rPr>
      </w:pPr>
      <w:r w:rsidRPr="005369EE">
        <w:rPr>
          <w:b/>
          <w:i/>
          <w:lang w:val="en-US" w:eastAsia="en-US"/>
        </w:rPr>
        <w:t>Proposal 1:</w:t>
      </w:r>
      <w:r w:rsidR="00D43567">
        <w:rPr>
          <w:b/>
          <w:i/>
          <w:lang w:val="en-US" w:eastAsia="en-US"/>
        </w:rPr>
        <w:t xml:space="preserve"> Follow the general RAN4 principle that the requirements are implementation agonistic, and which shaping filter type is selected is up to UE implementation.</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D43567">
        <w:t>comparison of different shaping filter schemes. Based on the further evaluation, we have the following observations and proposals:</w:t>
      </w:r>
    </w:p>
    <w:p w:rsidR="00D43567" w:rsidRDefault="00D43567" w:rsidP="00D43567">
      <w:pPr>
        <w:rPr>
          <w:b/>
          <w:i/>
          <w:lang w:val="en-US" w:eastAsia="en-US"/>
        </w:rPr>
      </w:pPr>
      <w:r>
        <w:rPr>
          <w:b/>
          <w:i/>
          <w:lang w:val="en-US" w:eastAsia="en-US"/>
        </w:rPr>
        <w:t xml:space="preserve">Observation 1: Different </w:t>
      </w:r>
      <w:r w:rsidRPr="000A6F04">
        <w:rPr>
          <w:b/>
          <w:i/>
          <w:lang w:val="en-US" w:eastAsia="en-US"/>
        </w:rPr>
        <w:t xml:space="preserve">FDSS schemes can improve PAPR performance </w:t>
      </w:r>
      <w:r>
        <w:rPr>
          <w:b/>
          <w:i/>
          <w:lang w:val="en-US" w:eastAsia="en-US"/>
        </w:rPr>
        <w:t xml:space="preserve">for Pi/2 </w:t>
      </w:r>
      <w:r w:rsidRPr="000A6F04">
        <w:rPr>
          <w:b/>
          <w:i/>
          <w:lang w:val="en-US" w:eastAsia="en-US"/>
        </w:rPr>
        <w:t>BPSK</w:t>
      </w:r>
    </w:p>
    <w:p w:rsidR="00D43567" w:rsidRDefault="00D43567" w:rsidP="00D43567">
      <w:pPr>
        <w:rPr>
          <w:b/>
          <w:i/>
          <w:lang w:val="en-US" w:eastAsia="en-US"/>
        </w:rPr>
      </w:pPr>
      <w:r>
        <w:rPr>
          <w:b/>
          <w:i/>
          <w:lang w:val="en-US" w:eastAsia="en-US"/>
        </w:rPr>
        <w:t>Observation 2: There are no big difference for the PAPR improvement with different shaping filter implementations</w:t>
      </w:r>
    </w:p>
    <w:p w:rsidR="00D43567" w:rsidRDefault="00D43567" w:rsidP="00D43567">
      <w:pPr>
        <w:rPr>
          <w:b/>
          <w:i/>
          <w:lang w:val="en-US" w:eastAsia="en-US"/>
        </w:rPr>
      </w:pPr>
      <w:r w:rsidRPr="005369EE">
        <w:rPr>
          <w:b/>
          <w:i/>
          <w:lang w:val="en-US" w:eastAsia="en-US"/>
        </w:rPr>
        <w:t>Proposal 1:</w:t>
      </w:r>
      <w:r>
        <w:rPr>
          <w:b/>
          <w:i/>
          <w:lang w:val="en-US" w:eastAsia="en-US"/>
        </w:rPr>
        <w:t xml:space="preserve"> Follow the general RAN4 principle that the requirements are implementation agonistic, and which shaping filter type is selected is up to UE implementation.</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527593" w:rsidRPr="00527593">
        <w:t>R4-2108018</w:t>
      </w:r>
      <w:r w:rsidR="00527593">
        <w:t>,</w:t>
      </w:r>
      <w:r w:rsidR="00527593" w:rsidRPr="00527593">
        <w:t xml:space="preserve"> WF on waveform configuration, parameters for link simulations and agreements</w:t>
      </w:r>
      <w:r w:rsidR="00527593">
        <w:t>, Qualcomm</w:t>
      </w:r>
    </w:p>
    <w:sectPr w:rsidR="00C53757"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10B" w:rsidRDefault="0041510B" w:rsidP="0052762B">
      <w:r>
        <w:separator/>
      </w:r>
    </w:p>
  </w:endnote>
  <w:endnote w:type="continuationSeparator" w:id="0">
    <w:p w:rsidR="0041510B" w:rsidRDefault="0041510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10B" w:rsidRDefault="0041510B" w:rsidP="0052762B">
      <w:r>
        <w:separator/>
      </w:r>
    </w:p>
  </w:footnote>
  <w:footnote w:type="continuationSeparator" w:id="0">
    <w:p w:rsidR="0041510B" w:rsidRDefault="0041510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59A6EB4"/>
    <w:multiLevelType w:val="hybridMultilevel"/>
    <w:tmpl w:val="73088C8A"/>
    <w:lvl w:ilvl="0" w:tplc="7B6E8AFA">
      <w:start w:val="1"/>
      <w:numFmt w:val="bullet"/>
      <w:lvlText w:val="•"/>
      <w:lvlJc w:val="left"/>
      <w:pPr>
        <w:tabs>
          <w:tab w:val="num" w:pos="720"/>
        </w:tabs>
        <w:ind w:left="720" w:hanging="360"/>
      </w:pPr>
      <w:rPr>
        <w:rFonts w:ascii="Arial" w:hAnsi="Arial" w:hint="default"/>
      </w:rPr>
    </w:lvl>
    <w:lvl w:ilvl="1" w:tplc="502C1A86">
      <w:start w:val="1"/>
      <w:numFmt w:val="bullet"/>
      <w:lvlText w:val="-"/>
      <w:lvlJc w:val="left"/>
      <w:pPr>
        <w:tabs>
          <w:tab w:val="num" w:pos="1440"/>
        </w:tabs>
        <w:ind w:left="1440" w:hanging="360"/>
      </w:pPr>
      <w:rPr>
        <w:rFonts w:ascii="Arial" w:hAnsi="Arial" w:hint="default"/>
      </w:rPr>
    </w:lvl>
    <w:lvl w:ilvl="2" w:tplc="53B6E1A0" w:tentative="1">
      <w:start w:val="1"/>
      <w:numFmt w:val="bullet"/>
      <w:lvlText w:val="•"/>
      <w:lvlJc w:val="left"/>
      <w:pPr>
        <w:tabs>
          <w:tab w:val="num" w:pos="2160"/>
        </w:tabs>
        <w:ind w:left="2160" w:hanging="360"/>
      </w:pPr>
      <w:rPr>
        <w:rFonts w:ascii="Arial" w:hAnsi="Arial" w:hint="default"/>
      </w:rPr>
    </w:lvl>
    <w:lvl w:ilvl="3" w:tplc="540EFD4E" w:tentative="1">
      <w:start w:val="1"/>
      <w:numFmt w:val="bullet"/>
      <w:lvlText w:val="•"/>
      <w:lvlJc w:val="left"/>
      <w:pPr>
        <w:tabs>
          <w:tab w:val="num" w:pos="2880"/>
        </w:tabs>
        <w:ind w:left="2880" w:hanging="360"/>
      </w:pPr>
      <w:rPr>
        <w:rFonts w:ascii="Arial" w:hAnsi="Arial" w:hint="default"/>
      </w:rPr>
    </w:lvl>
    <w:lvl w:ilvl="4" w:tplc="2E9C7D30" w:tentative="1">
      <w:start w:val="1"/>
      <w:numFmt w:val="bullet"/>
      <w:lvlText w:val="•"/>
      <w:lvlJc w:val="left"/>
      <w:pPr>
        <w:tabs>
          <w:tab w:val="num" w:pos="3600"/>
        </w:tabs>
        <w:ind w:left="3600" w:hanging="360"/>
      </w:pPr>
      <w:rPr>
        <w:rFonts w:ascii="Arial" w:hAnsi="Arial" w:hint="default"/>
      </w:rPr>
    </w:lvl>
    <w:lvl w:ilvl="5" w:tplc="22F681DA" w:tentative="1">
      <w:start w:val="1"/>
      <w:numFmt w:val="bullet"/>
      <w:lvlText w:val="•"/>
      <w:lvlJc w:val="left"/>
      <w:pPr>
        <w:tabs>
          <w:tab w:val="num" w:pos="4320"/>
        </w:tabs>
        <w:ind w:left="4320" w:hanging="360"/>
      </w:pPr>
      <w:rPr>
        <w:rFonts w:ascii="Arial" w:hAnsi="Arial" w:hint="default"/>
      </w:rPr>
    </w:lvl>
    <w:lvl w:ilvl="6" w:tplc="0D3650D0" w:tentative="1">
      <w:start w:val="1"/>
      <w:numFmt w:val="bullet"/>
      <w:lvlText w:val="•"/>
      <w:lvlJc w:val="left"/>
      <w:pPr>
        <w:tabs>
          <w:tab w:val="num" w:pos="5040"/>
        </w:tabs>
        <w:ind w:left="5040" w:hanging="360"/>
      </w:pPr>
      <w:rPr>
        <w:rFonts w:ascii="Arial" w:hAnsi="Arial" w:hint="default"/>
      </w:rPr>
    </w:lvl>
    <w:lvl w:ilvl="7" w:tplc="9B441C66" w:tentative="1">
      <w:start w:val="1"/>
      <w:numFmt w:val="bullet"/>
      <w:lvlText w:val="•"/>
      <w:lvlJc w:val="left"/>
      <w:pPr>
        <w:tabs>
          <w:tab w:val="num" w:pos="5760"/>
        </w:tabs>
        <w:ind w:left="5760" w:hanging="360"/>
      </w:pPr>
      <w:rPr>
        <w:rFonts w:ascii="Arial" w:hAnsi="Arial" w:hint="default"/>
      </w:rPr>
    </w:lvl>
    <w:lvl w:ilvl="8" w:tplc="F83CDA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60CA2"/>
    <w:multiLevelType w:val="hybridMultilevel"/>
    <w:tmpl w:val="C9125E48"/>
    <w:lvl w:ilvl="0" w:tplc="7B6E8AFA">
      <w:start w:val="1"/>
      <w:numFmt w:val="bullet"/>
      <w:lvlText w:val="•"/>
      <w:lvlJc w:val="left"/>
      <w:pPr>
        <w:tabs>
          <w:tab w:val="num" w:pos="720"/>
        </w:tabs>
        <w:ind w:left="720" w:hanging="360"/>
      </w:pPr>
      <w:rPr>
        <w:rFonts w:ascii="Arial" w:hAnsi="Arial" w:hint="default"/>
      </w:rPr>
    </w:lvl>
    <w:lvl w:ilvl="1" w:tplc="08003A06">
      <w:numFmt w:val="bullet"/>
      <w:lvlText w:val="•"/>
      <w:lvlJc w:val="left"/>
      <w:pPr>
        <w:tabs>
          <w:tab w:val="num" w:pos="1440"/>
        </w:tabs>
        <w:ind w:left="1440" w:hanging="360"/>
      </w:pPr>
      <w:rPr>
        <w:rFonts w:ascii="Arial" w:hAnsi="Arial" w:hint="default"/>
      </w:rPr>
    </w:lvl>
    <w:lvl w:ilvl="2" w:tplc="53B6E1A0" w:tentative="1">
      <w:start w:val="1"/>
      <w:numFmt w:val="bullet"/>
      <w:lvlText w:val="•"/>
      <w:lvlJc w:val="left"/>
      <w:pPr>
        <w:tabs>
          <w:tab w:val="num" w:pos="2160"/>
        </w:tabs>
        <w:ind w:left="2160" w:hanging="360"/>
      </w:pPr>
      <w:rPr>
        <w:rFonts w:ascii="Arial" w:hAnsi="Arial" w:hint="default"/>
      </w:rPr>
    </w:lvl>
    <w:lvl w:ilvl="3" w:tplc="540EFD4E" w:tentative="1">
      <w:start w:val="1"/>
      <w:numFmt w:val="bullet"/>
      <w:lvlText w:val="•"/>
      <w:lvlJc w:val="left"/>
      <w:pPr>
        <w:tabs>
          <w:tab w:val="num" w:pos="2880"/>
        </w:tabs>
        <w:ind w:left="2880" w:hanging="360"/>
      </w:pPr>
      <w:rPr>
        <w:rFonts w:ascii="Arial" w:hAnsi="Arial" w:hint="default"/>
      </w:rPr>
    </w:lvl>
    <w:lvl w:ilvl="4" w:tplc="2E9C7D30" w:tentative="1">
      <w:start w:val="1"/>
      <w:numFmt w:val="bullet"/>
      <w:lvlText w:val="•"/>
      <w:lvlJc w:val="left"/>
      <w:pPr>
        <w:tabs>
          <w:tab w:val="num" w:pos="3600"/>
        </w:tabs>
        <w:ind w:left="3600" w:hanging="360"/>
      </w:pPr>
      <w:rPr>
        <w:rFonts w:ascii="Arial" w:hAnsi="Arial" w:hint="default"/>
      </w:rPr>
    </w:lvl>
    <w:lvl w:ilvl="5" w:tplc="22F681DA" w:tentative="1">
      <w:start w:val="1"/>
      <w:numFmt w:val="bullet"/>
      <w:lvlText w:val="•"/>
      <w:lvlJc w:val="left"/>
      <w:pPr>
        <w:tabs>
          <w:tab w:val="num" w:pos="4320"/>
        </w:tabs>
        <w:ind w:left="4320" w:hanging="360"/>
      </w:pPr>
      <w:rPr>
        <w:rFonts w:ascii="Arial" w:hAnsi="Arial" w:hint="default"/>
      </w:rPr>
    </w:lvl>
    <w:lvl w:ilvl="6" w:tplc="0D3650D0" w:tentative="1">
      <w:start w:val="1"/>
      <w:numFmt w:val="bullet"/>
      <w:lvlText w:val="•"/>
      <w:lvlJc w:val="left"/>
      <w:pPr>
        <w:tabs>
          <w:tab w:val="num" w:pos="5040"/>
        </w:tabs>
        <w:ind w:left="5040" w:hanging="360"/>
      </w:pPr>
      <w:rPr>
        <w:rFonts w:ascii="Arial" w:hAnsi="Arial" w:hint="default"/>
      </w:rPr>
    </w:lvl>
    <w:lvl w:ilvl="7" w:tplc="9B441C66" w:tentative="1">
      <w:start w:val="1"/>
      <w:numFmt w:val="bullet"/>
      <w:lvlText w:val="•"/>
      <w:lvlJc w:val="left"/>
      <w:pPr>
        <w:tabs>
          <w:tab w:val="num" w:pos="5760"/>
        </w:tabs>
        <w:ind w:left="5760" w:hanging="360"/>
      </w:pPr>
      <w:rPr>
        <w:rFonts w:ascii="Arial" w:hAnsi="Arial" w:hint="default"/>
      </w:rPr>
    </w:lvl>
    <w:lvl w:ilvl="8" w:tplc="F83CDA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2"/>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5"/>
  </w:num>
  <w:num w:numId="28">
    <w:abstractNumId w:val="18"/>
  </w:num>
  <w:num w:numId="29">
    <w:abstractNumId w:val="40"/>
  </w:num>
  <w:num w:numId="30">
    <w:abstractNumId w:val="28"/>
  </w:num>
  <w:num w:numId="31">
    <w:abstractNumId w:val="16"/>
  </w:num>
  <w:num w:numId="32">
    <w:abstractNumId w:val="33"/>
  </w:num>
  <w:num w:numId="33">
    <w:abstractNumId w:val="6"/>
  </w:num>
  <w:num w:numId="34">
    <w:abstractNumId w:val="9"/>
  </w:num>
  <w:num w:numId="35">
    <w:abstractNumId w:val="34"/>
  </w:num>
  <w:num w:numId="36">
    <w:abstractNumId w:val="19"/>
  </w:num>
  <w:num w:numId="37">
    <w:abstractNumId w:val="7"/>
  </w:num>
  <w:num w:numId="38">
    <w:abstractNumId w:val="30"/>
  </w:num>
  <w:num w:numId="39">
    <w:abstractNumId w:val="3"/>
  </w:num>
  <w:num w:numId="40">
    <w:abstractNumId w:val="25"/>
  </w:num>
  <w:num w:numId="41">
    <w:abstractNumId w:val="15"/>
  </w:num>
  <w:num w:numId="42">
    <w:abstractNumId w:val="13"/>
  </w:num>
  <w:num w:numId="43">
    <w:abstractNumId w:val="21"/>
  </w:num>
  <w:num w:numId="44">
    <w:abstractNumId w:val="31"/>
  </w:num>
  <w:num w:numId="45">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BB5"/>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F04"/>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1E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250"/>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0B"/>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567"/>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593"/>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9D"/>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29EB"/>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AFF"/>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57F"/>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128"/>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FA3"/>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963"/>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787"/>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250"/>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356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QChar">
    <w:name w:val="EQ Char"/>
    <w:link w:val="EQ"/>
    <w:qFormat/>
    <w:rsid w:val="0099657F"/>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7368606">
      <w:bodyDiv w:val="1"/>
      <w:marLeft w:val="0"/>
      <w:marRight w:val="0"/>
      <w:marTop w:val="0"/>
      <w:marBottom w:val="0"/>
      <w:divBdr>
        <w:top w:val="none" w:sz="0" w:space="0" w:color="auto"/>
        <w:left w:val="none" w:sz="0" w:space="0" w:color="auto"/>
        <w:bottom w:val="none" w:sz="0" w:space="0" w:color="auto"/>
        <w:right w:val="none" w:sz="0" w:space="0" w:color="auto"/>
      </w:divBdr>
      <w:divsChild>
        <w:div w:id="186722987">
          <w:marLeft w:val="360"/>
          <w:marRight w:val="0"/>
          <w:marTop w:val="200"/>
          <w:marBottom w:val="0"/>
          <w:divBdr>
            <w:top w:val="none" w:sz="0" w:space="0" w:color="auto"/>
            <w:left w:val="none" w:sz="0" w:space="0" w:color="auto"/>
            <w:bottom w:val="none" w:sz="0" w:space="0" w:color="auto"/>
            <w:right w:val="none" w:sz="0" w:space="0" w:color="auto"/>
          </w:divBdr>
        </w:div>
        <w:div w:id="16122759">
          <w:marLeft w:val="1080"/>
          <w:marRight w:val="0"/>
          <w:marTop w:val="100"/>
          <w:marBottom w:val="0"/>
          <w:divBdr>
            <w:top w:val="none" w:sz="0" w:space="0" w:color="auto"/>
            <w:left w:val="none" w:sz="0" w:space="0" w:color="auto"/>
            <w:bottom w:val="none" w:sz="0" w:space="0" w:color="auto"/>
            <w:right w:val="none" w:sz="0" w:space="0" w:color="auto"/>
          </w:divBdr>
        </w:div>
        <w:div w:id="1485126057">
          <w:marLeft w:val="1080"/>
          <w:marRight w:val="0"/>
          <w:marTop w:val="100"/>
          <w:marBottom w:val="0"/>
          <w:divBdr>
            <w:top w:val="none" w:sz="0" w:space="0" w:color="auto"/>
            <w:left w:val="none" w:sz="0" w:space="0" w:color="auto"/>
            <w:bottom w:val="none" w:sz="0" w:space="0" w:color="auto"/>
            <w:right w:val="none" w:sz="0" w:space="0" w:color="auto"/>
          </w:divBdr>
        </w:div>
        <w:div w:id="1971131651">
          <w:marLeft w:val="1080"/>
          <w:marRight w:val="0"/>
          <w:marTop w:val="100"/>
          <w:marBottom w:val="0"/>
          <w:divBdr>
            <w:top w:val="none" w:sz="0" w:space="0" w:color="auto"/>
            <w:left w:val="none" w:sz="0" w:space="0" w:color="auto"/>
            <w:bottom w:val="none" w:sz="0" w:space="0" w:color="auto"/>
            <w:right w:val="none" w:sz="0" w:space="0" w:color="auto"/>
          </w:divBdr>
        </w:div>
        <w:div w:id="1210341610">
          <w:marLeft w:val="360"/>
          <w:marRight w:val="0"/>
          <w:marTop w:val="200"/>
          <w:marBottom w:val="0"/>
          <w:divBdr>
            <w:top w:val="none" w:sz="0" w:space="0" w:color="auto"/>
            <w:left w:val="none" w:sz="0" w:space="0" w:color="auto"/>
            <w:bottom w:val="none" w:sz="0" w:space="0" w:color="auto"/>
            <w:right w:val="none" w:sz="0" w:space="0" w:color="auto"/>
          </w:divBdr>
        </w:div>
        <w:div w:id="608125077">
          <w:marLeft w:val="1080"/>
          <w:marRight w:val="0"/>
          <w:marTop w:val="100"/>
          <w:marBottom w:val="0"/>
          <w:divBdr>
            <w:top w:val="none" w:sz="0" w:space="0" w:color="auto"/>
            <w:left w:val="none" w:sz="0" w:space="0" w:color="auto"/>
            <w:bottom w:val="none" w:sz="0" w:space="0" w:color="auto"/>
            <w:right w:val="none" w:sz="0" w:space="0" w:color="auto"/>
          </w:divBdr>
        </w:div>
        <w:div w:id="742988379">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3871E-4EBA-4365-B827-D148597A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TotalTime>
  <Pages>3</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2021-08-04T02:46:00Z</dcterms:created>
  <dcterms:modified xsi:type="dcterms:W3CDTF">2021-08-06T19:22:00Z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(3)Wms05pY8gkR2gIia6Z9vFbvCq/tlxRFM7J1d3LpTnRXdhS/+wDsKYxw0wOwDRFqzwTbMB4oy
VaLUyeSTNQEZ9PgEpprAs038b5TmsnqHHSOeGC7+jfyx0g5xW1iwqs4Zal9/tcxkEBmLdpLh
XjpF2CsrL79sILAal5DPM2k84rl237knhNW5XFUHhUXmPxh0sI1B2JcNnfwrLT27JM+LXIBs
H58JF9XwLr//t5dUtM</vt:lpwstr>
  </property>
  <property fmtid="{D5CDD505-2E9C-101B-9397-08002B2CF9AE}" pid="15" name="_2015_ms_pID_725343_00">
    <vt:lpwstr>_2015_ms_pID_725343</vt:lpwstr>
  </property>
  <property fmtid="{D5CDD505-2E9C-101B-9397-08002B2CF9AE}" pid="16" name="_2015_ms_pID_7253431">
    <vt:lpwstr>satSL2TH6an9fJYw02oCr3LSITUF4hV8L7gpzffP9PRGb5XXZvMd66
NaulCHErk/OYyfohBi5BAipfWK40CluvKOMrnXpUkOeZNVeMlV0BcazpuohYaeMzqcB6UqK2
huf4ycgpSHFslGrb28HzYLhfE0XFcG9yhS/4YpmJo4KPcY7QgS9dKDtei+4E4dv6ByXfwWmd
qdpGiVHoCWyHi/yybLBoZPq9jAXLEdf6u1C7</vt:lpwstr>
  </property>
  <property fmtid="{D5CDD505-2E9C-101B-9397-08002B2CF9AE}" pid="17" name="_2015_ms_pID_7253431_00">
    <vt:lpwstr>_2015_ms_pID_7253431</vt:lpwstr>
  </property>
  <property fmtid="{D5CDD505-2E9C-101B-9397-08002B2CF9AE}" pid="18" name="_2015_ms_pID_7253432">
    <vt:lpwstr>xmaRfF+09vKq6bjk5y6XoLM=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